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о результатах деятельности финансового управления</w:t>
      </w: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Лесозаводского городского округа за 1 квартал 2023 года</w:t>
      </w:r>
    </w:p>
    <w:p>
      <w:pPr>
        <w:jc w:val="center"/>
        <w:rPr>
          <w:b/>
          <w:sz w:val="24"/>
          <w:szCs w:val="24"/>
        </w:rPr>
      </w:pPr>
    </w:p>
    <w:p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Главным полномочием финансового управления администрации </w:t>
      </w:r>
      <w:r>
        <w:rPr>
          <w:sz w:val="24"/>
          <w:szCs w:val="24"/>
        </w:rPr>
        <w:t>является составление 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процессе в Лесозаводском городском округе», решения Думы городского округа от 20.12.2022 года № 572 - НПА «О бюджете Лесозаводского городского округа на 2023 год и плановый период 2024 и 2025 годов» в условиях кассового обслуживания исполнения бюджета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</w:p>
    <w:p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Бюджет городского округа за отчетный квартал 2023 года по доходам исполнен в сумме 297,8 млн. рублей, что составляет  18,8 % от утвержденных назначений. Рост к соотвутствующему периоду 2022 года составил 33,0 млн. рублей, за счет роста  </w:t>
      </w:r>
      <w:r>
        <w:rPr>
          <w:color w:val="000000"/>
          <w:sz w:val="24"/>
          <w:szCs w:val="24"/>
        </w:rPr>
        <w:t>безвозмездных поступлений из вышестоящего бюджета.</w:t>
      </w:r>
    </w:p>
    <w:p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налоговых и неналоговых доходов за отчетный период составил 135,6 млн. рублей или 22,5 % от уточненного годового плана в сумме 602,2 млн. рублей из них:</w:t>
      </w:r>
    </w:p>
    <w:p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налоговые доходы поступили в сумме 125,4 млн. рублей;</w:t>
      </w:r>
    </w:p>
    <w:p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неналоговые доходы поступили в сумме 10,2 млн. рублей.</w:t>
      </w:r>
    </w:p>
    <w:p>
      <w:pPr>
        <w:spacing w:line="360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Безвозмездных поступлений из вышестоящего бюджета получено в сумме 162,1 млн. рублей или 16,6 % от утвержденных бюджетных назначений в сумме </w:t>
      </w:r>
      <w:r>
        <w:rPr>
          <w:color w:val="000000"/>
          <w:sz w:val="24"/>
          <w:szCs w:val="24"/>
        </w:rPr>
        <w:t>978,2 млн</w:t>
      </w:r>
      <w:r>
        <w:rPr>
          <w:sz w:val="24"/>
          <w:szCs w:val="24"/>
        </w:rPr>
        <w:t>. рублей. По сравнению с соответствующим периодом прошлого года объем безвозмездных поступлений увеличился  на 49,9 млн. рублей.</w:t>
      </w:r>
    </w:p>
    <w:p>
      <w:pPr>
        <w:spacing w:line="360" w:lineRule="auto"/>
        <w:ind w:firstLine="708"/>
        <w:jc w:val="both"/>
        <w:rPr>
          <w:color w:val="000000" w:themeColor="text1"/>
          <w:sz w:val="24"/>
          <w:szCs w:val="24"/>
          <w:highlight w:val="yellow"/>
        </w:rPr>
      </w:pPr>
      <w:r>
        <w:rPr>
          <w:color w:val="000000" w:themeColor="text1"/>
          <w:sz w:val="24"/>
          <w:szCs w:val="24"/>
        </w:rPr>
        <w:t>По расходам бюджет городского округа исполнен на 329,3 млн. рублей, что составляет 18,2 %, от утвержденных годовых ассигнований.</w:t>
      </w:r>
      <w:r>
        <w:rPr>
          <w:color w:val="000000" w:themeColor="text1"/>
          <w:sz w:val="24"/>
          <w:szCs w:val="24"/>
          <w:highlight w:val="yellow"/>
        </w:rPr>
        <w:t xml:space="preserve"> </w:t>
      </w:r>
    </w:p>
    <w:p>
      <w:pPr>
        <w:pStyle w:val="6"/>
        <w:spacing w:line="360" w:lineRule="auto"/>
        <w:ind w:right="-57" w:firstLine="426"/>
        <w:jc w:val="both"/>
        <w:rPr>
          <w:b w:val="0"/>
          <w:bCs w:val="0"/>
          <w:color w:val="000000" w:themeColor="text1"/>
          <w:sz w:val="24"/>
          <w:highlight w:val="yellow"/>
        </w:rPr>
      </w:pPr>
      <w:r>
        <w:rPr>
          <w:b w:val="0"/>
          <w:bCs w:val="0"/>
          <w:color w:val="000000" w:themeColor="text1"/>
          <w:sz w:val="24"/>
        </w:rPr>
        <w:t>Структура расходов бюджета сложилась следующим образом:</w:t>
      </w:r>
      <w:r>
        <w:rPr>
          <w:b w:val="0"/>
          <w:bCs w:val="0"/>
          <w:color w:val="000000" w:themeColor="text1"/>
          <w:sz w:val="24"/>
          <w:highlight w:val="yellow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 расходы на социально-культурную сферу – 272,1 млн. рублей или 82,6 % от общего объема расходов бюджета; </w:t>
      </w:r>
    </w:p>
    <w:p>
      <w:pPr>
        <w:autoSpaceDE w:val="0"/>
        <w:autoSpaceDN w:val="0"/>
        <w:adjustRightInd w:val="0"/>
        <w:spacing w:line="360" w:lineRule="auto"/>
        <w:ind w:right="11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 расходы на жилищно-коммунальное хозяйство – 19,4 млн. рублей, удельный вес отрасли в объеме расходов бюджета составил 5,9 %; </w:t>
      </w:r>
    </w:p>
    <w:p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 расходы на общегосударственные вопросы – 28,6 млн. рублей (или 8,7 % общего объема расходов); </w:t>
      </w:r>
    </w:p>
    <w:p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· другие расходы – 9,2 млн. рублей или 2,8 %. </w:t>
      </w:r>
    </w:p>
    <w:p>
      <w:pPr>
        <w:pStyle w:val="6"/>
        <w:spacing w:line="360" w:lineRule="auto"/>
        <w:ind w:right="-57"/>
        <w:jc w:val="both"/>
        <w:rPr>
          <w:b w:val="0"/>
          <w:color w:val="000000" w:themeColor="text1"/>
          <w:sz w:val="24"/>
          <w:highlight w:val="yellow"/>
        </w:rPr>
      </w:pPr>
      <w:r>
        <w:rPr>
          <w:b w:val="0"/>
          <w:color w:val="000000" w:themeColor="text1"/>
          <w:sz w:val="24"/>
        </w:rPr>
        <w:t>Бюджет исполнен с дефицитом в сумме 31,6 млн. рублей.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направлениями деятельности финансового управления являются обеспечение долгосрочной сбалансированности и устойчивости бюджета городского округа, повышении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мероприятиях: </w:t>
      </w:r>
    </w:p>
    <w:p>
      <w:pPr>
        <w:spacing w:line="360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бюджет 2023 года исполняется в разрезе 15 муниципальных программ, что повышает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ресурсов;</w:t>
      </w:r>
    </w:p>
    <w:p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контроль за исполнением Плана мероприятий по увеличению доходного потенциала и оптимизации расходов бюджета Лесозаводского городского округа на 2021-2024 годы, утвержденный постановлением администрации городского</w:t>
      </w:r>
      <w:r>
        <w:rPr>
          <w:bCs/>
          <w:sz w:val="24"/>
          <w:szCs w:val="24"/>
        </w:rPr>
        <w:t xml:space="preserve"> от </w:t>
      </w:r>
      <w:r>
        <w:rPr>
          <w:sz w:val="24"/>
          <w:szCs w:val="24"/>
        </w:rPr>
        <w:t>05.02.2021 № 126.</w:t>
      </w:r>
      <w:r>
        <w:rPr>
          <w:bCs/>
          <w:sz w:val="24"/>
          <w:szCs w:val="24"/>
        </w:rPr>
        <w:t>В рамках исполнения Плана</w:t>
      </w:r>
      <w:r>
        <w:rPr>
          <w:sz w:val="24"/>
          <w:szCs w:val="24"/>
        </w:rPr>
        <w:t xml:space="preserve"> финансовым управлением в отчетном периоде проводится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</w:p>
    <w:p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задачи, указанные в основных направлениях бюджетной политики городского округа, направлены на повышение доступности и качества муниципальных услуг, в связи с чем в 2023 году всем учреждениям, оказывающим муниципальные услуги, доведены муниципальные задания в соответствии с порядком, установленным администрацией городского округа, утверждены нормативы их финансового обеспечения. При формировании муниципальных заданий была обеспечена увязка объемов и качества муниципальных услуг, оказываемых муниципальными учреждениями городского округа, с объемами бюджетных ассигнований на эти цели. 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квартала финансовым управлением обеспечивалось соблюдение участниками бюджетного процесса единой методологии бюджетного учета и бюджетной отчетности. Ежемесячно осуществлились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Годовая бюджетная отчетность по исполнению бюджета городского округа за 2022 год, месячные отчеты за 1 квартал 2023 года финансовым управлением предоставлены в Министерство финансов Приморского края в установленный срок в полном объеме требуемых форм.</w:t>
      </w:r>
    </w:p>
    <w:p>
      <w:pPr>
        <w:pStyle w:val="13"/>
        <w:widowControl/>
        <w:tabs>
          <w:tab w:val="left" w:pos="720"/>
        </w:tabs>
        <w:spacing w:line="360" w:lineRule="auto"/>
        <w:ind w:firstLine="0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Всего в 1 квартале текущего года в целях сохранения  устойчивости муниципальных финансов финансовым управлением подготовлены:</w:t>
      </w:r>
    </w:p>
    <w:p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 проект постановления главы городского округа;</w:t>
      </w:r>
    </w:p>
    <w:p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- 1 проект постановления администрации городского округа;</w:t>
      </w:r>
    </w:p>
    <w:bookmarkEnd w:id="0"/>
    <w:bookmarkEnd w:id="1"/>
    <w:p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- 32 приказа финансового управления.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отчетном периоде проведена большая работа по подготовке Бюджета для граждан по бюджету городского округа на 2023 и плановый период 2024 и 2025 годов. Информация, размещенная в Бюджете для граждан,  подготовлена в доступной для граждан форме с целью ознакомления их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ассигнований. </w:t>
      </w: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Начальник</w:t>
      </w:r>
      <w:r>
        <w:rPr>
          <w:rFonts w:hint="default"/>
          <w:sz w:val="24"/>
          <w:szCs w:val="24"/>
          <w:lang w:val="ru-RU"/>
        </w:rPr>
        <w:t xml:space="preserve"> отдела учета и отчетности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>
        <w:rPr>
          <w:rFonts w:hint="default"/>
          <w:sz w:val="24"/>
          <w:szCs w:val="24"/>
          <w:lang w:val="ru-RU"/>
        </w:rPr>
        <w:t xml:space="preserve">                 </w:t>
      </w:r>
      <w:bookmarkStart w:id="2" w:name="_GoBack"/>
      <w:bookmarkEnd w:id="2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Гранже</w:t>
      </w:r>
    </w:p>
    <w:p>
      <w:pPr>
        <w:pStyle w:val="8"/>
        <w:widowControl w:val="0"/>
        <w:spacing w:before="0" w:line="240" w:lineRule="auto"/>
        <w:ind w:firstLine="709"/>
        <w:rPr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851" w:bottom="1134" w:left="1418" w:header="720" w:footer="720" w:gutter="0"/>
      <w:paperSrc w:first="15" w:other="15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1127177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61ADD"/>
    <w:rsid w:val="000752E6"/>
    <w:rsid w:val="000915D3"/>
    <w:rsid w:val="001A702F"/>
    <w:rsid w:val="00204935"/>
    <w:rsid w:val="00273737"/>
    <w:rsid w:val="0028750E"/>
    <w:rsid w:val="002C2857"/>
    <w:rsid w:val="00357232"/>
    <w:rsid w:val="00362733"/>
    <w:rsid w:val="00385116"/>
    <w:rsid w:val="00430008"/>
    <w:rsid w:val="00431290"/>
    <w:rsid w:val="00435BFB"/>
    <w:rsid w:val="005013F1"/>
    <w:rsid w:val="00527FC7"/>
    <w:rsid w:val="0058458A"/>
    <w:rsid w:val="006238BF"/>
    <w:rsid w:val="0065787E"/>
    <w:rsid w:val="006D7FEC"/>
    <w:rsid w:val="00704742"/>
    <w:rsid w:val="00745214"/>
    <w:rsid w:val="007E37F8"/>
    <w:rsid w:val="0081706A"/>
    <w:rsid w:val="00835CF4"/>
    <w:rsid w:val="00843E92"/>
    <w:rsid w:val="00845C2F"/>
    <w:rsid w:val="00870F99"/>
    <w:rsid w:val="008A59A3"/>
    <w:rsid w:val="008F286F"/>
    <w:rsid w:val="00900362"/>
    <w:rsid w:val="009264AA"/>
    <w:rsid w:val="00961ADD"/>
    <w:rsid w:val="009B64EE"/>
    <w:rsid w:val="009C6381"/>
    <w:rsid w:val="009D0A57"/>
    <w:rsid w:val="009D6936"/>
    <w:rsid w:val="009F7FAB"/>
    <w:rsid w:val="00A017E1"/>
    <w:rsid w:val="00A31DA7"/>
    <w:rsid w:val="00A91925"/>
    <w:rsid w:val="00AD21BA"/>
    <w:rsid w:val="00AE1E31"/>
    <w:rsid w:val="00B14869"/>
    <w:rsid w:val="00B437F5"/>
    <w:rsid w:val="00B957AB"/>
    <w:rsid w:val="00BE4660"/>
    <w:rsid w:val="00C20C6C"/>
    <w:rsid w:val="00C31221"/>
    <w:rsid w:val="00C87885"/>
    <w:rsid w:val="00C91A13"/>
    <w:rsid w:val="00C920DA"/>
    <w:rsid w:val="00CF3C95"/>
    <w:rsid w:val="00D60F9C"/>
    <w:rsid w:val="00D620EF"/>
    <w:rsid w:val="00D95F79"/>
    <w:rsid w:val="00E129EB"/>
    <w:rsid w:val="00E20E49"/>
    <w:rsid w:val="00E23A85"/>
    <w:rsid w:val="00E24B4D"/>
    <w:rsid w:val="00EA42C2"/>
    <w:rsid w:val="00EB3E4D"/>
    <w:rsid w:val="00EC367A"/>
    <w:rsid w:val="00EE2F00"/>
    <w:rsid w:val="00EF7F85"/>
    <w:rsid w:val="00F02502"/>
    <w:rsid w:val="00FA6866"/>
    <w:rsid w:val="06B36E95"/>
    <w:rsid w:val="2BFC0930"/>
    <w:rsid w:val="354257AB"/>
    <w:rsid w:val="3B9A6BF7"/>
    <w:rsid w:val="4AEF6A71"/>
    <w:rsid w:val="4F0F3594"/>
    <w:rsid w:val="606168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Title"/>
    <w:basedOn w:val="1"/>
    <w:link w:val="11"/>
    <w:qFormat/>
    <w:uiPriority w:val="0"/>
    <w:pPr>
      <w:jc w:val="center"/>
    </w:pPr>
    <w:rPr>
      <w:b/>
      <w:bCs/>
      <w:sz w:val="28"/>
      <w:szCs w:val="24"/>
    </w:r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8">
    <w:name w:val="Стиль в законе"/>
    <w:basedOn w:val="1"/>
    <w:uiPriority w:val="99"/>
    <w:pPr>
      <w:spacing w:before="120" w:line="360" w:lineRule="auto"/>
      <w:ind w:firstLine="851"/>
      <w:jc w:val="both"/>
    </w:pPr>
    <w:rPr>
      <w:rFonts w:eastAsia="Calibri"/>
      <w:sz w:val="28"/>
    </w:rPr>
  </w:style>
  <w:style w:type="character" w:customStyle="1" w:styleId="9">
    <w:name w:val="Верхний колонтитул Знак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Название Знак"/>
    <w:basedOn w:val="2"/>
    <w:link w:val="6"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ConsPlusTitle"/>
    <w:qFormat/>
    <w:uiPriority w:val="99"/>
    <w:pPr>
      <w:widowControl w:val="0"/>
      <w:ind w:firstLine="709"/>
      <w:jc w:val="both"/>
    </w:pPr>
    <w:rPr>
      <w:rFonts w:ascii="Times New Roman" w:hAnsi="Times New Roman" w:eastAsia="Times New Roman" w:cs="Times New Roman"/>
      <w:b/>
      <w:snapToGrid w:val="0"/>
      <w:sz w:val="28"/>
      <w:lang w:val="ru-RU" w:eastAsia="ru-RU" w:bidi="ar-SA"/>
    </w:rPr>
  </w:style>
  <w:style w:type="character" w:customStyle="1" w:styleId="14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844</Words>
  <Characters>4817</Characters>
  <Lines>40</Lines>
  <Paragraphs>11</Paragraphs>
  <TotalTime>544</TotalTime>
  <ScaleCrop>false</ScaleCrop>
  <LinksUpToDate>false</LinksUpToDate>
  <CharactersWithSpaces>5650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2021-04-05T01:27:00Z</dcterms:created>
  <dc:creator>Елена</dc:creator>
  <cp:lastModifiedBy>user</cp:lastModifiedBy>
  <cp:lastPrinted>2021-04-19T01:42:00Z</cp:lastPrinted>
  <dcterms:modified xsi:type="dcterms:W3CDTF">2023-04-18T04:51:17Z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D04349761BAF44F9B7D5A31A740A70B5</vt:lpwstr>
  </property>
</Properties>
</file>